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327C3" w:rsidRPr="00D42574" w:rsidRDefault="004327C3" w:rsidP="004327C3">
      <w:pPr>
        <w:spacing w:after="0" w:line="240" w:lineRule="auto"/>
        <w:ind w:firstLine="567"/>
        <w:jc w:val="both"/>
        <w:rPr>
          <w:rFonts w:ascii="Times New Roman" w:eastAsia="Times New Roman" w:hAnsi="Times New Roman" w:cs="Times New Roman"/>
          <w:b/>
          <w:color w:val="000000"/>
          <w:sz w:val="24"/>
          <w:szCs w:val="24"/>
          <w:lang w:eastAsia="ru-RU"/>
        </w:rPr>
      </w:pPr>
      <w:r w:rsidRPr="00D42574">
        <w:rPr>
          <w:rFonts w:ascii="Times New Roman" w:eastAsia="Times New Roman" w:hAnsi="Times New Roman" w:cs="Times New Roman"/>
          <w:b/>
          <w:color w:val="000000"/>
          <w:sz w:val="24"/>
          <w:szCs w:val="24"/>
          <w:lang w:eastAsia="ru-RU"/>
        </w:rPr>
        <w:t>Лекция № 12 (1 час) Тема: Зарубежные системы аккредитации</w:t>
      </w:r>
    </w:p>
    <w:p w:rsidR="004327C3"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 условиях быстрого развития торгово-экономических отношений между различными странами особое значение приобретает снижение технических барьеров между торговыми партнерами с сохранением эффективной защиты потребителя от опасной и некачественной продукции.</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Поставщики, желающие добиться доверия потребителя, обязаны иметь сертификаты, подтверждающие качество и безопасность товаров и услуг.</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Причем организации, проводящие сертификацию систем качества и товаров, испытательные и поверочные лаборатории должны убедительно доказывать свою компетентность. Аккредитация этих организаций повышает доверие к выдаваемым ими документам благодаря оценки их компетентности на основе общепринятых критериев.</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Протоколы испытаний и оформленные на их основании "назначенными органами" сертификаты признаются в законодательно регулируемой области в соответствии с директивами ЕС всеми странами - членами ЕС.</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Однако для большого числа изделий не существует директив, т.е. они попадают в законодательно не регулируемую область и, следовательно, к их свойствам, порядку их контроля не установлены единые требования.</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xml:space="preserve">В Европейских объединениях взаимное признание аккредитации не происходит автоматически одновременно с приемом в объединение в качестве члена. Такое признание является предметом особых соглашений (например, многостороннее соглашение о взаимном признании органов по сертификации - MLA). Взаимное признание реализуется только после подписания этих </w:t>
      </w:r>
      <w:proofErr w:type="gramStart"/>
      <w:r w:rsidRPr="00E860E4">
        <w:rPr>
          <w:rFonts w:ascii="Times New Roman" w:eastAsia="Times New Roman" w:hAnsi="Times New Roman" w:cs="Times New Roman"/>
          <w:color w:val="000000"/>
          <w:sz w:val="24"/>
          <w:szCs w:val="24"/>
          <w:lang w:eastAsia="ru-RU"/>
        </w:rPr>
        <w:t>соглашений, после того, как</w:t>
      </w:r>
      <w:proofErr w:type="gramEnd"/>
      <w:r w:rsidRPr="00E860E4">
        <w:rPr>
          <w:rFonts w:ascii="Times New Roman" w:eastAsia="Times New Roman" w:hAnsi="Times New Roman" w:cs="Times New Roman"/>
          <w:color w:val="000000"/>
          <w:sz w:val="24"/>
          <w:szCs w:val="24"/>
          <w:lang w:eastAsia="ru-RU"/>
        </w:rPr>
        <w:t xml:space="preserve"> организация, система качества и применяемые на практике процедуры были проверены (оценены) партнерами, причем проверка повторяется регулярно с интервалом в несколько лет.</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 связи с этим особый интерес представляет организация работ по аккредитации в зарубежных странах и, в частности, в таких наиболее развитых европейских странах, как Франция и Великобритания.</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Комитет Франции по аккредитации (COFRAC) возглавляет французскую систему аккредитации. Его юридический статус как национального органа по аккредитации - некоммерческая ассоциация. COFRAC был образован на основе закона Франции о создании некоммерческих организаций по инициативе Министерства промышленности. Утверждения статуса организации как национального аккредитующего органа правительственными актами не требовалось, поскольку протокол подписали все заинтересованные стороны.</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 Уставе COFRAC записано, что все члены организации выражают желание содействовать ее деятельности и подтверждают свою позицию о невозможности создания для членов ассоциации аналогичных (конкурирующих) организаций.</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С рядом министерств COFRAC подписаны соглашения о признании ими аккредитаций, проводимых только специалистами COFRAC. Причем аккредитация ведется как в законодательно регулируемой, так и в нерегулируемой областях.</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Штат COFRAC - небольшой, поэтому для проведения работ по аккредитации привлекаются эксперты из других организаций (имеются процедуры их привлечения и регистр экспертов), которые оплачиваются COFRAC.</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lastRenderedPageBreak/>
        <w:t>Заявитель вносит регистрационный взнос и оплачивает по контракту с COFRAC работу по аккредитации.</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Аккредитованная организация каждый год платит определенный взнос (процент от оборота или фиксированную сумму - способ платежа устанавливает COFRAC) и осуществляет доплату, если затраты на инспекционный контроль превышают взнос.</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По рекомендациям ЕА (Европейской организации по аккредитации) аттестат аккредитации COFRAC выдается на четыре года. Инспекционный контроль проводится: не позднее чем через 12 месяцев - первая проверка и через 18 -повторная.</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Как правило, инспекционный контроль осуществляют те же лица, которые проводили аккредитацию, но при повторной оценке желательно привлекать других специалистов.</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 COFRAC есть государственный аудит. Государственные аудиторы четыре раза в год принимают участие в заседаниях Правления COFRAC без права решающего голоса, свое мнение они могут направить в Правительство Франции.</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Срок проведения аккредитации от четырех до шести и более месяцев. Заявка на повторную аккредитацию подается за шесть месяцев, процедура ее проведения аналогична первичной аккредитации.</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Составляют определенные объективные трудности и организация, и финансирование проведения межлабораторных сличительных испытаний. Одного участия в них недостаточно для принятия решения об аккредитации лаборатории.</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Устанавливать дополнительные критерии аккредитации, кроме установленных в международных документах (например, в стандарте ИСО/МЭК 17025), не разрешается. ЕА при инспекциях национального аккредитующего органа прежде всего проверяет его соответствие документам ИСО.</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Объектами аккредитации являются: органы по сертификации продукции и услуг, систем качества, персонала; испытательные, поверочные и калибровочные лаборатории; инспекционные организации.</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 организационную структуру COFRAC входят: члены ассоциации (юридический орган), которые назначают членов Правления способом, установленным в Уставе;</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Правление, включающее представителей различных сторон, осуществляет функции менеджмента и координирует участие заинтересованных сторон. Оно наделено полномочиями осуществлять процесс аккредитации, устанавливать порядок сбора членских взносов и т.д. Большую помощь Правлению оказывает его Бюро, которое готовит к заседаниям вопросы на рассмотрение; четыре сектора (отдела), занимающиеся соответственно лабораториями, сертифицирующими органами систем менеджмента (качества и окружающей среды) и персонала, продукции (и услуг), а также инспекционными органами. Каждый сектор состоит из руководящего комитета, в состав которого входят заинтересованные стороны, и нескольких постоянных сотрудников. Каждый комитет уполномочен принимать решения по аккредитации {первоначальная аккредитация, поддержание, возобновление аккредитации, расширение и уменьшение области применения, приостановка и отмена аккредитации), а также имеет право делегировать свои полномочия подкомитетам или директору; директор, который руководит небольшим штатом сотрудников {в настоящее время - 65 человек). Все они занять! полную рабочую неделю, им не разрешается иметь другой вид заработка; внешние эксперты по оценке и эксперты (примерно тысяча), занятые неполную рабочую неделю, некоторые из них не связаны с определенным местом работы, а другие заняты в сторонних организациях - их отбирают секторы, за исключением экспертов по оценке "систем качества", последних отбирает специальная общая комиссия, состоящая из штатных сотрудников; комиссия по внутренним проверкам, состоящая из внешних экспертов (им не разрешается выполнять другую работу в COFRAC).</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lastRenderedPageBreak/>
        <w:t>COFRAC ежегодно проводит генеральные ассамблеи, ежеквартально - заседания Правления, заседания комитетов проходят по мере необходимости (как правило, раз в квартал), подкомитетов - обычно ежемесячно, и даже чаще. Однако состав последних немногочислен, не всегда заседают одни и те же люди.</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Каждый орган обязан вести записи своих решений. Оформленные решения, часто называемые протоколом, подписывает председатель соответствующего совета или комитета. Решения считаются конфиденциальными (за исключением тех, где речь идет об аккредитации, которые публикуются в справочниках аккредитованных органов и лабораторий, а также кроме сообщений об одобрении процедур (включая пересмотры) по критериям аккредитации и по правам и обязанностям заявителей и аккредитованных органов - данная информация дается в самих одобренных соответствующих документах).</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Все работники, принимающие участие в деятельности COFRAC, обязаны согласно контракту соблюдать конфиденциальность и проявлять беспристрастность в отношении своих последних обязанностей. Что касается экспертов по оценке и экспертов, то их просят при получении заказа на работу по проведению определенной оценки заявить обо всех своих предыдущих и настоящих связях с органом, который предстоит оценить.</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Финансовые ресурсы поступают главным образом от заявителей и аккредитованных органов. Субсидирование (в настоящее время менее 10% от общего оборота) производится правительством под конкретные задания, такие, как ввод нового вида деятельности, - юридические счета считаются уникальными, но есть внутреннее распределение поступлений и расходов по каждому сектору. Сборы (конкретные по каждому сектору) утверждаются Правлением по предложениям всех отраслевых комитетов. Аналогичным образом формируется бюджет на год, который одобряется Правлением по предложениям, поступившим от каждого отраслевого комитета.</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Документация COFRAC состоит из:</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xml:space="preserve">Устава, служащего образующей базой (дан на </w:t>
      </w:r>
      <w:proofErr w:type="spellStart"/>
      <w:r w:rsidRPr="00E860E4">
        <w:rPr>
          <w:rFonts w:ascii="Times New Roman" w:eastAsia="Times New Roman" w:hAnsi="Times New Roman" w:cs="Times New Roman"/>
          <w:color w:val="000000"/>
          <w:sz w:val="24"/>
          <w:szCs w:val="24"/>
          <w:lang w:eastAsia="ru-RU"/>
        </w:rPr>
        <w:t>web</w:t>
      </w:r>
      <w:proofErr w:type="spellEnd"/>
      <w:r w:rsidRPr="00E860E4">
        <w:rPr>
          <w:rFonts w:ascii="Times New Roman" w:eastAsia="Times New Roman" w:hAnsi="Times New Roman" w:cs="Times New Roman"/>
          <w:color w:val="000000"/>
          <w:sz w:val="24"/>
          <w:szCs w:val="24"/>
          <w:lang w:eastAsia="ru-RU"/>
        </w:rPr>
        <w:t xml:space="preserve">-сайте COFRAC, на французском языке); внутренних нормативных положений, назначение которых (в известной мере) - дать некоторые подробности применения Устава (есть на </w:t>
      </w:r>
      <w:proofErr w:type="spellStart"/>
      <w:r w:rsidRPr="00E860E4">
        <w:rPr>
          <w:rFonts w:ascii="Times New Roman" w:eastAsia="Times New Roman" w:hAnsi="Times New Roman" w:cs="Times New Roman"/>
          <w:color w:val="000000"/>
          <w:sz w:val="24"/>
          <w:szCs w:val="24"/>
          <w:lang w:eastAsia="ru-RU"/>
        </w:rPr>
        <w:t>web</w:t>
      </w:r>
      <w:proofErr w:type="spellEnd"/>
      <w:r w:rsidRPr="00E860E4">
        <w:rPr>
          <w:rFonts w:ascii="Times New Roman" w:eastAsia="Times New Roman" w:hAnsi="Times New Roman" w:cs="Times New Roman"/>
          <w:color w:val="000000"/>
          <w:sz w:val="24"/>
          <w:szCs w:val="24"/>
          <w:lang w:eastAsia="ru-RU"/>
        </w:rPr>
        <w:t>-сайте COFRAC, на французском языке); руководства по качеству, содержащем политику и принципы, а также ссылки:</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xml:space="preserve">• на многоцелевые общие процедуры (некоторые из них опубликованы на </w:t>
      </w:r>
      <w:proofErr w:type="spellStart"/>
      <w:r w:rsidRPr="00E860E4">
        <w:rPr>
          <w:rFonts w:ascii="Times New Roman" w:eastAsia="Times New Roman" w:hAnsi="Times New Roman" w:cs="Times New Roman"/>
          <w:color w:val="000000"/>
          <w:sz w:val="24"/>
          <w:szCs w:val="24"/>
          <w:lang w:eastAsia="ru-RU"/>
        </w:rPr>
        <w:t>web</w:t>
      </w:r>
      <w:proofErr w:type="spellEnd"/>
      <w:r w:rsidRPr="00E860E4">
        <w:rPr>
          <w:rFonts w:ascii="Times New Roman" w:eastAsia="Times New Roman" w:hAnsi="Times New Roman" w:cs="Times New Roman"/>
          <w:color w:val="000000"/>
          <w:sz w:val="24"/>
          <w:szCs w:val="24"/>
          <w:lang w:eastAsia="ru-RU"/>
        </w:rPr>
        <w:t>-сайте COFRAC);</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xml:space="preserve">• на конкретные процедуры каждого сектора, дополненные моделями и формами по мере необходимости (некоторые из них, главным образом касающиеся заявителей, опубликованы на </w:t>
      </w:r>
      <w:proofErr w:type="spellStart"/>
      <w:r w:rsidRPr="00E860E4">
        <w:rPr>
          <w:rFonts w:ascii="Times New Roman" w:eastAsia="Times New Roman" w:hAnsi="Times New Roman" w:cs="Times New Roman"/>
          <w:color w:val="000000"/>
          <w:sz w:val="24"/>
          <w:szCs w:val="24"/>
          <w:lang w:eastAsia="ru-RU"/>
        </w:rPr>
        <w:t>web</w:t>
      </w:r>
      <w:proofErr w:type="spellEnd"/>
      <w:r w:rsidRPr="00E860E4">
        <w:rPr>
          <w:rFonts w:ascii="Times New Roman" w:eastAsia="Times New Roman" w:hAnsi="Times New Roman" w:cs="Times New Roman"/>
          <w:color w:val="000000"/>
          <w:sz w:val="24"/>
          <w:szCs w:val="24"/>
          <w:lang w:eastAsia="ru-RU"/>
        </w:rPr>
        <w:t>-сайте COFRAC).</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Структура COFRAC не изменилась с начала образования (в 1994 г.), за исключением того, что секторов стало значительно больше. Сначала идея состояла в непосредственном вовлечении максимально возможного количества заинтересованных работников (я могу напомнить, что при создании COFRAC действительно был единодушный консенсус). Однако спустя ряд лет стало ясно, что временами ими трудно и накладно управлять. По мнению руководства COFRAC, испытательные и калибровочные лаборатории (даже если ввиду исторических причин они были разделены) должны соответствовать одному и тому же стандарту: принятие ИСО/МЭК 17025 "Общие требования к компетентности испытательных и калибровочных лабораторий" дало возможность соединить два сектора, ранее предназначенные для двух видов лабораторий. Аналогичный процесс произошел и с сертифицирующими органами для промышленной продукции и для пищевой продукции, которые относились вначале к двум секторам.</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COFRAC делает различия между экспертами по оценке и экспертами:</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эксперты по оценке (</w:t>
      </w:r>
      <w:proofErr w:type="spellStart"/>
      <w:r w:rsidRPr="00E860E4">
        <w:rPr>
          <w:rFonts w:ascii="Times New Roman" w:eastAsia="Times New Roman" w:hAnsi="Times New Roman" w:cs="Times New Roman"/>
          <w:color w:val="000000"/>
          <w:sz w:val="24"/>
          <w:szCs w:val="24"/>
          <w:lang w:eastAsia="ru-RU"/>
        </w:rPr>
        <w:t>assessors</w:t>
      </w:r>
      <w:proofErr w:type="spellEnd"/>
      <w:r w:rsidRPr="00E860E4">
        <w:rPr>
          <w:rFonts w:ascii="Times New Roman" w:eastAsia="Times New Roman" w:hAnsi="Times New Roman" w:cs="Times New Roman"/>
          <w:color w:val="000000"/>
          <w:sz w:val="24"/>
          <w:szCs w:val="24"/>
          <w:lang w:eastAsia="ru-RU"/>
        </w:rPr>
        <w:t xml:space="preserve">) специализируются по системам менеджмента в широком смысле, например по системам качества в рамках сертифицирующих органов (в том числе по таким аспектам "третьей стороны", как независимость, участие </w:t>
      </w:r>
      <w:r w:rsidRPr="00E860E4">
        <w:rPr>
          <w:rFonts w:ascii="Times New Roman" w:eastAsia="Times New Roman" w:hAnsi="Times New Roman" w:cs="Times New Roman"/>
          <w:color w:val="000000"/>
          <w:sz w:val="24"/>
          <w:szCs w:val="24"/>
          <w:lang w:eastAsia="ru-RU"/>
        </w:rPr>
        <w:lastRenderedPageBreak/>
        <w:t>заинтересованных сторон, связи с соответствующими органами), системам охраны окружающей среды, системам качества в лабораториях, системам качества в инспекционных органах;</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эксперты (</w:t>
      </w:r>
      <w:proofErr w:type="spellStart"/>
      <w:r w:rsidRPr="00E860E4">
        <w:rPr>
          <w:rFonts w:ascii="Times New Roman" w:eastAsia="Times New Roman" w:hAnsi="Times New Roman" w:cs="Times New Roman"/>
          <w:color w:val="000000"/>
          <w:sz w:val="24"/>
          <w:szCs w:val="24"/>
          <w:lang w:eastAsia="ru-RU"/>
        </w:rPr>
        <w:t>experts</w:t>
      </w:r>
      <w:proofErr w:type="spellEnd"/>
      <w:r w:rsidRPr="00E860E4">
        <w:rPr>
          <w:rFonts w:ascii="Times New Roman" w:eastAsia="Times New Roman" w:hAnsi="Times New Roman" w:cs="Times New Roman"/>
          <w:color w:val="000000"/>
          <w:sz w:val="24"/>
          <w:szCs w:val="24"/>
          <w:lang w:eastAsia="ru-RU"/>
        </w:rPr>
        <w:t>) специализируются в определенной конкретной деятельности, в узких областях. Их задача -знакомство с "технической" компетентностью работников, занятых в организациях-заявителях, аккредитованных органах или лабораториях, а также "соответствием" их систем качества осуществляемой ими деятельности, что предполагает: способность выявлять основные риски, возникающие от данной конкретной деятельности, и проверять, содержат ли процедуры оцениваемого органа деятельность, способную предотвратить эти риски;</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"технические эксперты по оценке" являются, по существу, экспертами, но специально подготовленными для наблюдения за аспектами качества в ходе посещений с инспекционным контролем (не в ходе начальной или повторной оценки).</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Служба аккредитации Великобритании (UKAS) объединяет работу Национальной службы по аккредитации в области измерений и Национального совета по аккредитации органов сертификации (NACCB, бывший Совет Британского института по стандартизации). Это обеспечивает единую национальную службу аккредитации для органов, занимающихся сертификацией продукции, персонала или систем, включая административное управление и системы проверок окружающей среды, а также лабораторий, проводящих испытания и проверки.</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UKAS работает как компания с ограниченной ответственностью по гарантии, состав которой представляет полный спектр национальных интересов в области аккредитации. Основателями компании являются следующие ее члены:</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государственный секретарь по делам торговли и промышленности;</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Ассоциация органов по сертификации Великобритании;</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Ассоциация измерений и испытаний Великобритании;</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Конфедерация британской промышленности;</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Государственный секретарь по вопросам окружающей среды;</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Федерация малого предпринимательства;</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местные органы власти, координирующие стандарты на продукты питания и торговлю;</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группа качества национального Союза отраслей промышленности;</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Общественный институт закупок и поставок;</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Институт обеспечения качества;</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Федерация оценки безопасности.</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xml:space="preserve">Признавая роль UKAS как правомочного органа Великобритании в области аккредитации органов сертификации и испытательных и калибровочных лабораторий, правительство Соединенного Королевства Великобритании разрешило ей продолжать </w:t>
      </w:r>
      <w:r w:rsidRPr="00E860E4">
        <w:rPr>
          <w:rFonts w:ascii="Times New Roman" w:eastAsia="Times New Roman" w:hAnsi="Times New Roman" w:cs="Times New Roman"/>
          <w:color w:val="000000"/>
          <w:sz w:val="24"/>
          <w:szCs w:val="24"/>
          <w:lang w:eastAsia="ru-RU"/>
        </w:rPr>
        <w:lastRenderedPageBreak/>
        <w:t>пользоваться существующими государственными знаками аккредитации - стрелками часов, короной и логограммой НАМАС (Национальная аккредитационная измерительная служба). Это решение оформлено Соглашением о передаче права на использование логограммы, дающим UKAS право употреблять и предоставлять сублицензию на употребление национальных знаков аккредитации, включающих в себя Королевскую корону.</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Решение об аккредитации UKAS выдает независимым органам по сертификации и испытательным и поверочным лабораториям третьей стороны как признание, что они отвечают международным критериям, предусматривающим целостность, техническую компетентность и действенность методов.</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Аккредитация органов по сертификации также показывает, что эксперты имеют право проводить оценку компаний на соответствие британским стандартам (BS), европейским нормам (EN) или стандартам ИСО серии 9000 в специальных областях деятельности до определенного уровня качества.</w:t>
      </w: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p>
    <w:p w:rsidR="004327C3" w:rsidRPr="00E860E4" w:rsidRDefault="004327C3" w:rsidP="004327C3">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UKAS проводит аккредитацию: лабораторий, занимающихся калибровкой, поверкой и испытаниями; органов по сертификации продукции и услуг; систем качества; персонала; инспекционных организаций.</w:t>
      </w:r>
    </w:p>
    <w:p w:rsidR="00252A83" w:rsidRDefault="00252A83">
      <w:bookmarkStart w:id="0" w:name="_GoBack"/>
      <w:bookmarkEnd w:id="0"/>
    </w:p>
    <w:sectPr w:rsidR="00252A8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27C3"/>
    <w:rsid w:val="00153B50"/>
    <w:rsid w:val="00252A83"/>
    <w:rsid w:val="004327C3"/>
    <w:rsid w:val="00723F4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B776257-E2C0-4F76-A863-465571019A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327C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2063</Words>
  <Characters>11763</Characters>
  <Application>Microsoft Office Word</Application>
  <DocSecurity>0</DocSecurity>
  <Lines>98</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Гульмира Чингалиева</dc:creator>
  <cp:keywords/>
  <dc:description/>
  <cp:lastModifiedBy>Гульмира Чингалиева</cp:lastModifiedBy>
  <cp:revision>1</cp:revision>
  <dcterms:created xsi:type="dcterms:W3CDTF">2022-12-08T14:09:00Z</dcterms:created>
  <dcterms:modified xsi:type="dcterms:W3CDTF">2022-12-08T14:09:00Z</dcterms:modified>
</cp:coreProperties>
</file>